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79" w:rsidRDefault="00A24C79" w:rsidP="00A24C79">
      <w:pPr>
        <w:tabs>
          <w:tab w:val="num" w:pos="1080"/>
        </w:tabs>
        <w:spacing w:line="360" w:lineRule="auto"/>
        <w:rPr>
          <w:rStyle w:val="Pogrubienie"/>
          <w:rFonts w:asciiTheme="minorHAnsi" w:hAnsiTheme="minorHAnsi" w:cs="Arial"/>
          <w:sz w:val="32"/>
          <w:szCs w:val="32"/>
        </w:rPr>
      </w:pPr>
    </w:p>
    <w:p w:rsidR="00A24C79" w:rsidRDefault="00B4308F" w:rsidP="00A24C79">
      <w:pPr>
        <w:tabs>
          <w:tab w:val="num" w:pos="1080"/>
        </w:tabs>
        <w:spacing w:line="360" w:lineRule="auto"/>
        <w:jc w:val="center"/>
        <w:rPr>
          <w:rStyle w:val="Pogrubienie"/>
          <w:rFonts w:asciiTheme="minorHAnsi" w:hAnsiTheme="minorHAnsi" w:cs="Arial"/>
          <w:sz w:val="32"/>
          <w:szCs w:val="32"/>
        </w:rPr>
      </w:pPr>
      <w:r>
        <w:rPr>
          <w:rStyle w:val="Pogrubienie"/>
          <w:rFonts w:asciiTheme="minorHAnsi" w:hAnsiTheme="minorHAnsi" w:cs="Arial"/>
          <w:sz w:val="32"/>
          <w:szCs w:val="32"/>
        </w:rPr>
        <w:t>REGULAMIN BIBLIOTEKI</w:t>
      </w:r>
      <w:r w:rsidRPr="00B4308F">
        <w:rPr>
          <w:rStyle w:val="Pogrubienie"/>
          <w:rFonts w:asciiTheme="minorHAnsi" w:hAnsiTheme="minorHAnsi" w:cs="Arial"/>
          <w:sz w:val="32"/>
          <w:szCs w:val="32"/>
        </w:rPr>
        <w:t xml:space="preserve"> </w:t>
      </w:r>
      <w:r w:rsidRPr="00B4308F">
        <w:rPr>
          <w:rStyle w:val="Pogrubienie"/>
          <w:rFonts w:asciiTheme="minorHAnsi" w:hAnsiTheme="minorHAnsi" w:cs="Arial"/>
          <w:sz w:val="32"/>
          <w:szCs w:val="32"/>
        </w:rPr>
        <w:br/>
        <w:t>Szkoły Podstawowej nr 3 im. Jarosława Dąbrowskiego w Dębnie</w:t>
      </w:r>
    </w:p>
    <w:p w:rsidR="00A24C79" w:rsidRPr="00A24C79" w:rsidRDefault="00A24C79" w:rsidP="00A24C79">
      <w:pPr>
        <w:tabs>
          <w:tab w:val="num" w:pos="1080"/>
        </w:tabs>
        <w:spacing w:line="36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Biblioteka szkolna czynna jest od poniedziałku do piątku w godzinach ustalanych co roku przez dyrektora szkoły.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Ze zbiorów biblioteki mogą korzystać uczniowie, nauczyciele, pozostali pracownicy szkoły oraz rodzice.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Wszystkich korzystających ze zbiorów bibliotecznych obowiązuje dbałość o wypożyczone książki i materiały.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Z księgozbioru podręcznego można korzystać tylko i wyłącznie w czytelni biblioteki.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Czytelnik zobowiązany jest uzyskać zgodę bibliotekarza na sporządzenie kserokopii materiałów bibliotecznych.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Jednocześnie można wypożyczyć cztery książki na okres dwóch tygodni, ale w szczególnie uzasadnionych przypadkach biblioteka może zwiększyć liczbę wypożyczonych książek, a także przedłużyć termin ich zwrotu.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 xml:space="preserve">Czytelnik może zwrócić się do bibliotekarza o rezerwację potrzebnej </w:t>
      </w:r>
      <w:r w:rsidRPr="00A24C79">
        <w:rPr>
          <w:rFonts w:asciiTheme="minorHAnsi" w:hAnsiTheme="minorHAnsi" w:cs="Arial"/>
          <w:color w:val="auto"/>
          <w:sz w:val="26"/>
          <w:szCs w:val="26"/>
        </w:rPr>
        <w:br/>
        <w:t>mu pozycji.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Czytelnik może, pod nadzorem bibliotekarza, korzystać z komputerowego wyszukiwania informacji bibliograficznych.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Czytelnik, w przypadku zniszczenia lub zagubienia książki oraz innych materiałów, zobowiązany jest zwrócić taką samą pozycję lub inną wskazaną przez bibliotekarza.</w:t>
      </w:r>
    </w:p>
    <w:p w:rsidR="00B4308F" w:rsidRPr="00A24C79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Czytelnik zobowiązany jest zwrócić do biblioteki wszystkie wypożyczone materiały przed końcem roku szkolnego w ogłoszonym terminie.</w:t>
      </w:r>
    </w:p>
    <w:p w:rsidR="00B4308F" w:rsidRDefault="00B4308F" w:rsidP="00B4308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="Arial"/>
          <w:color w:val="auto"/>
          <w:sz w:val="26"/>
          <w:szCs w:val="26"/>
        </w:rPr>
      </w:pPr>
      <w:r w:rsidRPr="00A24C79">
        <w:rPr>
          <w:rFonts w:asciiTheme="minorHAnsi" w:hAnsiTheme="minorHAnsi" w:cs="Arial"/>
          <w:color w:val="auto"/>
          <w:sz w:val="26"/>
          <w:szCs w:val="26"/>
        </w:rPr>
        <w:t>Czytelnik korzystający z biblioteki i czytelni szkolnej zobowiązany jest</w:t>
      </w:r>
      <w:r w:rsidR="00A24C79">
        <w:rPr>
          <w:rFonts w:asciiTheme="minorHAnsi" w:hAnsiTheme="minorHAnsi" w:cs="Arial"/>
          <w:color w:val="auto"/>
          <w:sz w:val="26"/>
          <w:szCs w:val="26"/>
        </w:rPr>
        <w:br/>
      </w:r>
      <w:r w:rsidRPr="00A24C79">
        <w:rPr>
          <w:rFonts w:asciiTheme="minorHAnsi" w:hAnsiTheme="minorHAnsi" w:cs="Arial"/>
          <w:color w:val="auto"/>
          <w:sz w:val="26"/>
          <w:szCs w:val="26"/>
        </w:rPr>
        <w:t xml:space="preserve"> do dbałości o mienie szkolne, a także ład i porządek na swoim stanowisku pracy. </w:t>
      </w:r>
    </w:p>
    <w:p w:rsidR="00FE5D45" w:rsidRPr="00D2053D" w:rsidRDefault="00FE5D45" w:rsidP="00D2053D">
      <w:pPr>
        <w:pStyle w:val="Akapitzlist"/>
      </w:pPr>
      <w:bookmarkStart w:id="0" w:name="_GoBack"/>
      <w:bookmarkEnd w:id="0"/>
    </w:p>
    <w:sectPr w:rsidR="00FE5D45" w:rsidRPr="00D2053D" w:rsidSect="00A24C7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421"/>
    <w:multiLevelType w:val="hybridMultilevel"/>
    <w:tmpl w:val="FB9AE0B2"/>
    <w:lvl w:ilvl="0" w:tplc="C3307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A46"/>
    <w:multiLevelType w:val="hybridMultilevel"/>
    <w:tmpl w:val="45DEE3E4"/>
    <w:lvl w:ilvl="0" w:tplc="AB1CB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F"/>
    <w:rsid w:val="0080748E"/>
    <w:rsid w:val="00A24C79"/>
    <w:rsid w:val="00B4308F"/>
    <w:rsid w:val="00D2053D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692E"/>
  <w15:chartTrackingRefBased/>
  <w15:docId w15:val="{A4D0D980-44F4-408A-8F0A-0413A0A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308F"/>
    <w:pPr>
      <w:spacing w:before="100" w:beforeAutospacing="1" w:after="100" w:afterAutospacing="1"/>
    </w:pPr>
    <w:rPr>
      <w:color w:val="000066"/>
    </w:rPr>
  </w:style>
  <w:style w:type="character" w:styleId="Pogrubienie">
    <w:name w:val="Strong"/>
    <w:qFormat/>
    <w:rsid w:val="00B4308F"/>
    <w:rPr>
      <w:b/>
      <w:bCs/>
    </w:rPr>
  </w:style>
  <w:style w:type="paragraph" w:styleId="Akapitzlist">
    <w:name w:val="List Paragraph"/>
    <w:basedOn w:val="Normalny"/>
    <w:uiPriority w:val="34"/>
    <w:qFormat/>
    <w:rsid w:val="00A24C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dcterms:created xsi:type="dcterms:W3CDTF">2019-11-04T08:25:00Z</dcterms:created>
  <dcterms:modified xsi:type="dcterms:W3CDTF">2019-11-04T08:25:00Z</dcterms:modified>
</cp:coreProperties>
</file>